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6.1: Analogy Engine and Cross-Domain Map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6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Use this on one stuck problem (Chapter 6).</w:t>
      </w:r>
    </w:p>
    <w:p>
      <w:r/>
      <w:r>
        <w:rPr>
          <w:b/>
        </w:rPr>
        <w:t>The problem in one sentence:</w:t>
      </w:r>
      <w:r/>
    </w:p>
    <w:p>
      <w:r>
        <w:t>______________________________________________</w:t>
      </w:r>
    </w:p>
    <w:p>
      <w:r>
        <w:t>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notes</w:t>
            </w:r>
          </w:p>
        </w:tc>
      </w:tr>
      <w:tr>
        <w:tc>
          <w:tcPr>
            <w:tcW w:type="dxa" w:w="4320"/>
          </w:tcPr>
          <w:p>
            <w:r>
              <w:t>1. Strip the problem down to its deep structure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2. Name the pattern in general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3. Search distant domains (nature, history, other industries, AI-assisted search)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4. Map the borrowed solution back and test it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Perspective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it shows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Idea it suggests</w:t>
            </w:r>
          </w:p>
        </w:tc>
      </w:tr>
      <w:tr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System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Nature or history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Ethics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