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9a.1: Agent Brief and Permissions Matrix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9a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Write this before connecting any agent to anything (Sections 9a.3 and 9a.11).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Brief element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Entry</w:t>
            </w:r>
          </w:p>
        </w:tc>
      </w:tr>
      <w:tr>
        <w:tc>
          <w:tcPr>
            <w:tcW w:type="dxa" w:w="4320"/>
          </w:tcPr>
          <w:p>
            <w:r>
              <w:t>Goal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Context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Permissions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Limits (budget, scope, volume)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Checkpoints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Stop rules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Report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Owner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Delegation rung (1–5)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Resource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None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Read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Draft/prepare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Act with approval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Act within limits</w:t>
            </w:r>
          </w:p>
        </w:tc>
      </w:tr>
      <w:tr>
        <w:tc>
          <w:tcPr>
            <w:tcW w:type="dxa" w:w="1440"/>
          </w:tcPr>
          <w:p>
            <w:r>
              <w:t>Email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Calendar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Files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Payments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Customer/student/patient records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Public posting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Other: ______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Trust scorecard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Score 1–5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Honesty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Restraint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Transparency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Recoverability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