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5: The Map</w:t>
      </w:r>
    </w:p>
    <w:p>
      <w:r/>
      <w:r>
        <w:rPr>
          <w:b/>
        </w:rPr>
        <w:t>Reach for it when</w:t>
      </w:r>
      <w:r>
        <w:t xml:space="preserve"> the answer arrives somewhere sensible by a road you'd never take: the easy parts first, the decision rushed, the key point buried.</w:t>
      </w:r>
    </w:p>
    <w:p>
      <w:r/>
      <w:r>
        <w:rPr>
          <w:b/>
        </w:rPr>
        <w:t>Say it like this</w:t>
      </w:r>
      <w:r/>
    </w:p>
    <w:p>
      <w:r>
        <w:t>• "The answer is fine, but the order isn't. Start with the decision, then the support."</w:t>
      </w:r>
    </w:p>
    <w:p>
      <w:r>
        <w:t>• "You gathered twelve facts and three carried the answer. Which three? Lead with those."</w:t>
      </w:r>
    </w:p>
    <w:p>
      <w:r/>
      <w:r>
        <w:rPr>
          <w:b/>
        </w:rPr>
        <w:t>Not this:</w:t>
      </w:r>
      <w:r>
        <w:t xml:space="preserve"> "This feels disorganized."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5: The Map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