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10: The Fence</w:t>
      </w:r>
    </w:p>
    <w:p>
      <w:r/>
      <w:r>
        <w:rPr>
          <w:b/>
        </w:rPr>
        <w:t>Reach for it when</w:t>
      </w:r>
      <w:r>
        <w:t xml:space="preserve"> the work is drifting toward a line that must not be crossed: an invented fact, borrowed words, a promise nobody can keep, a person written about carelessly.</w:t>
      </w:r>
    </w:p>
    <w:p>
      <w:r/>
      <w:r>
        <w:rPr>
          <w:b/>
        </w:rPr>
        <w:t>Say it like this</w:t>
      </w:r>
      <w:r/>
    </w:p>
    <w:p>
      <w:r>
        <w:t>• "Before we start: no figure appears unless it comes from the data I gave you. If a number isn't known, say so."</w:t>
      </w:r>
    </w:p>
    <w:p>
      <w:r>
        <w:t>• "You may draft the promise, but you may not send it or set the date. Mark anything that sounds like a commitment."</w:t>
      </w:r>
    </w:p>
    <w:p>
      <w:r/>
      <w:r>
        <w:rPr>
          <w:b/>
        </w:rPr>
        <w:t>Not this:</w:t>
      </w:r>
      <w:r>
        <w:t xml:space="preserve"> "Don't make stuff up," shouted after the fact.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10: The Fence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