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Worksheet A1: Part I Forecast Tracker</w:t>
      </w:r>
    </w:p>
    <w:p>
      <w:r/>
      <w:r>
        <w:rPr>
          <w:i/>
        </w:rPr>
        <w:t>Companion to</w:t>
      </w:r>
      <w:r>
        <w:t xml:space="preserve"> Super Intelligence Will Make You Obsolete, </w:t>
      </w:r>
      <w:r>
        <w:rPr>
          <w:i/>
        </w:rPr>
        <w:t>Part I Forecast Atlas</w:t>
      </w:r>
      <w:r/>
    </w:p>
    <w:p>
      <w:r/>
      <w:r>
        <w:rPr>
          <w:b/>
        </w:rPr>
        <w:t>Name:</w:t>
      </w:r>
      <w:r>
        <w:t xml:space="preserve"> ____________________   </w:t>
      </w:r>
      <w:r>
        <w:rPr>
          <w:b/>
        </w:rPr>
        <w:t>Date:</w:t>
      </w:r>
      <w:r>
        <w:t xml:space="preserve"> __________</w:t>
      </w:r>
    </w:p>
    <w:p>
      <w:r/>
      <w:r>
        <w:rPr>
          <w:b/>
        </w:rPr>
        <w:t>How to use:</w:t>
      </w:r>
      <w:r>
        <w:t xml:space="preserve"> Each row is one chapter's most likely forecast (Tier 1) from the Part I Forecast Atlas. Once a quarter, note the signpost you are watching and mark the status: </w:t>
      </w:r>
      <w:r>
        <w:rPr>
          <w:i/>
        </w:rPr>
        <w:t>on track</w:t>
      </w:r>
      <w:r>
        <w:t xml:space="preserve">, </w:t>
      </w:r>
      <w:r>
        <w:rPr>
          <w:i/>
        </w:rPr>
        <w:t>early</w:t>
      </w:r>
      <w:r>
        <w:t xml:space="preserve">, </w:t>
      </w:r>
      <w:r>
        <w:rPr>
          <w:i/>
        </w:rPr>
        <w:t>late</w:t>
      </w:r>
      <w:r>
        <w:t xml:space="preserve"> or </w:t>
      </w:r>
      <w:r>
        <w:rPr>
          <w:i/>
        </w:rPr>
        <w:t>wrong</w:t>
      </w:r>
      <w:r>
        <w:t>. Being wrong is information, not failure.</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Ch.</w:t>
            </w:r>
          </w:p>
        </w:tc>
        <w:tc>
          <w:tcPr>
            <w:tcW w:type="dxa" w:w="2160"/>
          </w:tcPr>
          <w:p>
            <w:r>
              <w:rPr>
                <w:b/>
              </w:rPr>
              <w:t>Most likely (Tier 1)</w:t>
            </w:r>
          </w:p>
        </w:tc>
        <w:tc>
          <w:tcPr>
            <w:tcW w:type="dxa" w:w="2160"/>
          </w:tcPr>
          <w:p>
            <w:r>
              <w:rPr>
                <w:b/>
              </w:rPr>
              <w:t>Signpost I am watching</w:t>
            </w:r>
          </w:p>
        </w:tc>
        <w:tc>
          <w:tcPr>
            <w:tcW w:type="dxa" w:w="2160"/>
          </w:tcPr>
          <w:p>
            <w:r>
              <w:rPr>
                <w:b/>
              </w:rPr>
              <w:t>Status and date</w:t>
            </w:r>
          </w:p>
        </w:tc>
      </w:tr>
      <w:tr>
        <w:tc>
          <w:tcPr>
            <w:tcW w:type="dxa" w:w="2160"/>
          </w:tcPr>
          <w:p>
            <w:r>
              <w:t>1</w:t>
            </w:r>
          </w:p>
        </w:tc>
        <w:tc>
          <w:tcPr>
            <w:tcW w:type="dxa" w:w="2160"/>
          </w:tcPr>
          <w:p>
            <w:r>
              <w:t>Language models continue absorbing adjacent capabilities because a single interface trained on human knowledge generalizes more cheaply than separate specialized systems.</w:t>
            </w:r>
          </w:p>
        </w:tc>
        <w:tc>
          <w:tcPr>
            <w:tcW w:type="dxa" w:w="2160"/>
          </w:tcPr>
          <w:p>
            <w:r/>
          </w:p>
        </w:tc>
        <w:tc>
          <w:tcPr>
            <w:tcW w:type="dxa" w:w="2160"/>
          </w:tcPr>
          <w:p>
            <w:r/>
          </w:p>
        </w:tc>
      </w:tr>
      <w:tr>
        <w:tc>
          <w:tcPr>
            <w:tcW w:type="dxa" w:w="2160"/>
          </w:tcPr>
          <w:p>
            <w:r>
              <w:t>2</w:t>
            </w:r>
          </w:p>
        </w:tc>
        <w:tc>
          <w:tcPr>
            <w:tcW w:type="dxa" w:w="2160"/>
          </w:tcPr>
          <w:p>
            <w:r>
              <w:t>Systems reach and pass skilled-human parity in most *bounded, verifiable* cognitive tasks before they match humans in open-ended, embodied, real-world competence.</w:t>
            </w:r>
          </w:p>
        </w:tc>
        <w:tc>
          <w:tcPr>
            <w:tcW w:type="dxa" w:w="2160"/>
          </w:tcPr>
          <w:p>
            <w:r/>
          </w:p>
        </w:tc>
        <w:tc>
          <w:tcPr>
            <w:tcW w:type="dxa" w:w="2160"/>
          </w:tcPr>
          <w:p>
            <w:r/>
          </w:p>
        </w:tc>
      </w:tr>
      <w:tr>
        <w:tc>
          <w:tcPr>
            <w:tcW w:type="dxa" w:w="2160"/>
          </w:tcPr>
          <w:p>
            <w:r>
              <w:t>3</w:t>
            </w:r>
          </w:p>
        </w:tc>
        <w:tc>
          <w:tcPr>
            <w:tcW w:type="dxa" w:w="2160"/>
          </w:tcPr>
          <w:p>
            <w:r>
              <w:t>Energy and grid capacity set the effective pace of frontier growth.</w:t>
            </w:r>
          </w:p>
        </w:tc>
        <w:tc>
          <w:tcPr>
            <w:tcW w:type="dxa" w:w="2160"/>
          </w:tcPr>
          <w:p>
            <w:r/>
          </w:p>
        </w:tc>
        <w:tc>
          <w:tcPr>
            <w:tcW w:type="dxa" w:w="2160"/>
          </w:tcPr>
          <w:p>
            <w:r/>
          </w:p>
        </w:tc>
      </w:tr>
      <w:tr>
        <w:tc>
          <w:tcPr>
            <w:tcW w:type="dxa" w:w="2160"/>
          </w:tcPr>
          <w:p>
            <w:r>
              <w:t>4</w:t>
            </w:r>
          </w:p>
        </w:tc>
        <w:tc>
          <w:tcPr>
            <w:tcW w:type="dxa" w:w="2160"/>
          </w:tcPr>
          <w:p>
            <w:r>
              <w:t>Assistance strips the clerical and monitoring layers from professional work first.</w:t>
            </w:r>
          </w:p>
        </w:tc>
        <w:tc>
          <w:tcPr>
            <w:tcW w:type="dxa" w:w="2160"/>
          </w:tcPr>
          <w:p>
            <w:r/>
          </w:p>
        </w:tc>
        <w:tc>
          <w:tcPr>
            <w:tcW w:type="dxa" w:w="2160"/>
          </w:tcPr>
          <w:p>
            <w:r/>
          </w:p>
        </w:tc>
      </w:tr>
    </w:tbl>
    <w:p/>
    <w:p>
      <w:r/>
      <w:r>
        <w:rPr>
          <w:b/>
        </w:rPr>
        <w:t>What changed my mind this quarter:</w:t>
      </w:r>
      <w:r>
        <w:t xml:space="preserve"> ______________________________________</w:t>
      </w:r>
    </w:p>
    <w:p>
      <w:r/>
      <w:r>
        <w:rPr>
          <w:i/>
        </w:rPr>
        <w:t>Worksheet from</w:t>
      </w:r>
      <w:r>
        <w:t xml:space="preserve"> Super Intelligence Will Make You Obsolete </w:t>
      </w:r>
      <w:r>
        <w:rPr>
          <w:i/>
        </w:rPr>
        <w:t>by Zafrullah Khan, Ed.D. © 2026 ai021.ai, Inc. Free with the book for personal, team, or classroom use. Not for resale. General information only, not financial, legal, medical, or other professional advice. Download every worksheet, the full workbook and more practice: https://www.ai021.ai/book</w:t>
      </w: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BM Plex Serif" w:hAnsi="IBM Plex Seri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A1: Part I Forecast Tracker</dc:title>
  <dc:subject>Super Intelligence Will Make You Obsolete companion workbook</dc:subject>
  <dc:creator>Zafrullah Khan, Ed.D.</dc:creator>
  <cp:keywords/>
  <dc:description/>
  <cp:lastModifiedBy>ai021.ai, Inc.</cp:lastModifiedBy>
  <cp:revision>1</cp:revision>
  <dcterms:created xsi:type="dcterms:W3CDTF">2026-10-23T00:24:28Z</dcterms:created>
  <dcterms:modified xsi:type="dcterms:W3CDTF">2026-10-23T00:24:28Z</dcterms:modified>
  <cp:category/>
</cp:coreProperties>
</file>