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A2: Part II Forecast Tracker</w:t>
      </w:r>
    </w:p>
    <w:p>
      <w:r/>
      <w:r>
        <w:rPr>
          <w:i/>
        </w:rPr>
        <w:t>Companion to</w:t>
      </w:r>
      <w:r>
        <w:t xml:space="preserve"> Super Intelligence Will Make You Obsolete, </w:t>
      </w:r>
      <w:r>
        <w:rPr>
          <w:i/>
        </w:rPr>
        <w:t>Part 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5</w:t>
            </w:r>
          </w:p>
        </w:tc>
        <w:tc>
          <w:tcPr>
            <w:tcW w:type="dxa" w:w="2160"/>
          </w:tcPr>
          <w:p>
            <w:r>
              <w:t>Cognitive work automates in task order, not job order.</w:t>
            </w:r>
          </w:p>
        </w:tc>
        <w:tc>
          <w:tcPr>
            <w:tcW w:type="dxa" w:w="2160"/>
          </w:tcPr>
          <w:p>
            <w:r/>
          </w:p>
        </w:tc>
        <w:tc>
          <w:tcPr>
            <w:tcW w:type="dxa" w:w="2160"/>
          </w:tcPr>
          <w:p>
            <w:r/>
          </w:p>
        </w:tc>
      </w:tr>
      <w:tr>
        <w:tc>
          <w:tcPr>
            <w:tcW w:type="dxa" w:w="2160"/>
          </w:tcPr>
          <w:p>
            <w:r>
              <w:t>6</w:t>
            </w:r>
          </w:p>
        </w:tc>
        <w:tc>
          <w:tcPr>
            <w:tcW w:type="dxa" w:w="2160"/>
          </w:tcPr>
          <w:p>
            <w:r>
              <w:t>Capital and intelligence fully decouple from headcount at the frontier.</w:t>
            </w:r>
          </w:p>
        </w:tc>
        <w:tc>
          <w:tcPr>
            <w:tcW w:type="dxa" w:w="2160"/>
          </w:tcPr>
          <w:p>
            <w:r/>
          </w:p>
        </w:tc>
        <w:tc>
          <w:tcPr>
            <w:tcW w:type="dxa" w:w="2160"/>
          </w:tcPr>
          <w:p>
            <w:r/>
          </w:p>
        </w:tc>
      </w:tr>
      <w:tr>
        <w:tc>
          <w:tcPr>
            <w:tcW w:type="dxa" w:w="2160"/>
          </w:tcPr>
          <w:p>
            <w:r>
              <w:t>7</w:t>
            </w:r>
          </w:p>
        </w:tc>
        <w:tc>
          <w:tcPr>
            <w:tcW w:type="dxa" w:w="2160"/>
          </w:tcPr>
          <w:p>
            <w:r>
              <w:t>Accountability anchors employment.</w:t>
            </w:r>
          </w:p>
        </w:tc>
        <w:tc>
          <w:tcPr>
            <w:tcW w:type="dxa" w:w="2160"/>
          </w:tcPr>
          <w:p>
            <w:r/>
          </w:p>
        </w:tc>
        <w:tc>
          <w:tcPr>
            <w:tcW w:type="dxa" w:w="2160"/>
          </w:tcPr>
          <w:p>
            <w:r/>
          </w:p>
        </w:tc>
      </w:tr>
      <w:tr>
        <w:tc>
          <w:tcPr>
            <w:tcW w:type="dxa" w:w="2160"/>
          </w:tcPr>
          <w:p>
            <w:r>
              <w:t>8</w:t>
            </w:r>
          </w:p>
        </w:tc>
        <w:tc>
          <w:tcPr>
            <w:tcW w:type="dxa" w:w="2160"/>
          </w:tcPr>
          <w:p>
            <w:r>
              <w:t>Lost role and status, more than lost income, drive the transition's social pathology where support is purely financial.</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A2: Part II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