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Worksheet A3: Part III Forecast Tracker</w:t>
      </w:r>
    </w:p>
    <w:p>
      <w:r/>
      <w:r>
        <w:rPr>
          <w:i/>
        </w:rPr>
        <w:t>Companion to</w:t>
      </w:r>
      <w:r>
        <w:t xml:space="preserve"> Super Intelligence Will Make You Obsolete, </w:t>
      </w:r>
      <w:r>
        <w:rPr>
          <w:i/>
        </w:rPr>
        <w:t>Part III Forecast Atlas</w:t>
      </w:r>
      <w:r/>
    </w:p>
    <w:p>
      <w:r/>
      <w:r>
        <w:rPr>
          <w:b/>
        </w:rPr>
        <w:t>Name:</w:t>
      </w:r>
      <w:r>
        <w:t xml:space="preserve"> ____________________   </w:t>
      </w:r>
      <w:r>
        <w:rPr>
          <w:b/>
        </w:rPr>
        <w:t>Date:</w:t>
      </w:r>
      <w:r>
        <w:t xml:space="preserve"> __________</w:t>
      </w:r>
    </w:p>
    <w:p>
      <w:r/>
      <w:r>
        <w:rPr>
          <w:b/>
        </w:rPr>
        <w:t>How to use:</w:t>
      </w:r>
      <w:r>
        <w:t xml:space="preserve"> Each row is one chapter's most likely forecast (Tier 1) from the Part III Forecast Atlas. Once a quarter, note the signpost you are watching and mark the status: </w:t>
      </w:r>
      <w:r>
        <w:rPr>
          <w:i/>
        </w:rPr>
        <w:t>on track</w:t>
      </w:r>
      <w:r>
        <w:t xml:space="preserve">, </w:t>
      </w:r>
      <w:r>
        <w:rPr>
          <w:i/>
        </w:rPr>
        <w:t>early</w:t>
      </w:r>
      <w:r>
        <w:t xml:space="preserve">, </w:t>
      </w:r>
      <w:r>
        <w:rPr>
          <w:i/>
        </w:rPr>
        <w:t>late</w:t>
      </w:r>
      <w:r>
        <w:t xml:space="preserve"> or </w:t>
      </w:r>
      <w:r>
        <w:rPr>
          <w:i/>
        </w:rPr>
        <w:t>wrong</w:t>
      </w:r>
      <w:r>
        <w:t>. Being wrong is information, not failure.</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rPr>
                <w:b/>
              </w:rPr>
              <w:t>Ch.</w:t>
            </w:r>
          </w:p>
        </w:tc>
        <w:tc>
          <w:tcPr>
            <w:tcW w:type="dxa" w:w="2160"/>
          </w:tcPr>
          <w:p>
            <w:r>
              <w:rPr>
                <w:b/>
              </w:rPr>
              <w:t>Most likely (Tier 1)</w:t>
            </w:r>
          </w:p>
        </w:tc>
        <w:tc>
          <w:tcPr>
            <w:tcW w:type="dxa" w:w="2160"/>
          </w:tcPr>
          <w:p>
            <w:r>
              <w:rPr>
                <w:b/>
              </w:rPr>
              <w:t>Signpost I am watching</w:t>
            </w:r>
          </w:p>
        </w:tc>
        <w:tc>
          <w:tcPr>
            <w:tcW w:type="dxa" w:w="2160"/>
          </w:tcPr>
          <w:p>
            <w:r>
              <w:rPr>
                <w:b/>
              </w:rPr>
              <w:t>Status and date</w:t>
            </w:r>
          </w:p>
        </w:tc>
      </w:tr>
      <w:tr>
        <w:tc>
          <w:tcPr>
            <w:tcW w:type="dxa" w:w="2160"/>
          </w:tcPr>
          <w:p>
            <w:r>
              <w:t>9</w:t>
            </w:r>
          </w:p>
        </w:tc>
        <w:tc>
          <w:tcPr>
            <w:tcW w:type="dxa" w:w="2160"/>
          </w:tcPr>
          <w:p>
            <w:r>
              <w:t>Conversational companions become a mass consumer category across age groups, because they monetize the two most reliable scarcities of modern life: attention and being listened to.</w:t>
            </w:r>
          </w:p>
        </w:tc>
        <w:tc>
          <w:tcPr>
            <w:tcW w:type="dxa" w:w="2160"/>
          </w:tcPr>
          <w:p>
            <w:r/>
          </w:p>
        </w:tc>
        <w:tc>
          <w:tcPr>
            <w:tcW w:type="dxa" w:w="2160"/>
          </w:tcPr>
          <w:p>
            <w:r/>
          </w:p>
        </w:tc>
      </w:tr>
      <w:tr>
        <w:tc>
          <w:tcPr>
            <w:tcW w:type="dxa" w:w="2160"/>
          </w:tcPr>
          <w:p>
            <w:r>
              <w:t>10</w:t>
            </w:r>
          </w:p>
        </w:tc>
        <w:tc>
          <w:tcPr>
            <w:tcW w:type="dxa" w:w="2160"/>
          </w:tcPr>
          <w:p>
            <w:r>
              <w:t>Friction-free synthetic intimacy raises the experienced cost of human partnership at the margin, delaying pairing for a measurable minority, because every real partner now competes with an alternative that never has a bad day.</w:t>
            </w:r>
          </w:p>
        </w:tc>
        <w:tc>
          <w:tcPr>
            <w:tcW w:type="dxa" w:w="2160"/>
          </w:tcPr>
          <w:p>
            <w:r/>
          </w:p>
        </w:tc>
        <w:tc>
          <w:tcPr>
            <w:tcW w:type="dxa" w:w="2160"/>
          </w:tcPr>
          <w:p>
            <w:r/>
          </w:p>
        </w:tc>
      </w:tr>
      <w:tr>
        <w:tc>
          <w:tcPr>
            <w:tcW w:type="dxa" w:w="2160"/>
          </w:tcPr>
          <w:p>
            <w:r>
              <w:t>11</w:t>
            </w:r>
          </w:p>
        </w:tc>
        <w:tc>
          <w:tcPr>
            <w:tcW w:type="dxa" w:w="2160"/>
          </w:tcPr>
          <w:p>
            <w:r>
              <w:t>Synthetic tutors and homework companions become default infrastructure in middle-income households, because cost collapses while measured instructional gains persist.</w:t>
            </w:r>
          </w:p>
        </w:tc>
        <w:tc>
          <w:tcPr>
            <w:tcW w:type="dxa" w:w="2160"/>
          </w:tcPr>
          <w:p>
            <w:r/>
          </w:p>
        </w:tc>
        <w:tc>
          <w:tcPr>
            <w:tcW w:type="dxa" w:w="2160"/>
          </w:tcPr>
          <w:p>
            <w:r/>
          </w:p>
        </w:tc>
      </w:tr>
      <w:tr>
        <w:tc>
          <w:tcPr>
            <w:tcW w:type="dxa" w:w="2160"/>
          </w:tcPr>
          <w:p>
            <w:r>
              <w:t>12</w:t>
            </w:r>
          </w:p>
        </w:tc>
        <w:tc>
          <w:tcPr>
            <w:tcW w:type="dxa" w:w="2160"/>
          </w:tcPr>
          <w:p>
            <w:r>
              <w:t>Synthetic eldercare becomes standard across aging societies, because the caregiver arithmetic has no payable human solution.</w:t>
            </w:r>
          </w:p>
        </w:tc>
        <w:tc>
          <w:tcPr>
            <w:tcW w:type="dxa" w:w="2160"/>
          </w:tcPr>
          <w:p>
            <w:r/>
          </w:p>
        </w:tc>
        <w:tc>
          <w:tcPr>
            <w:tcW w:type="dxa" w:w="2160"/>
          </w:tcPr>
          <w:p>
            <w:r/>
          </w:p>
        </w:tc>
      </w:tr>
    </w:tbl>
    <w:p/>
    <w:p>
      <w:r/>
      <w:r>
        <w:rPr>
          <w:b/>
        </w:rPr>
        <w:t>What changed my mind this quarter:</w:t>
      </w:r>
      <w:r>
        <w:t xml:space="preserve"> ______________________________________</w:t>
      </w:r>
    </w:p>
    <w:p>
      <w:r/>
      <w:r>
        <w:rPr>
          <w:i/>
        </w:rPr>
        <w:t>Worksheet from</w:t>
      </w:r>
      <w:r>
        <w:t xml:space="preserve"> Super Intelligence Will Make You Obsolete </w:t>
      </w:r>
      <w:r>
        <w:rPr>
          <w:i/>
        </w:rPr>
        <w:t>by Zafrullah Khan, Ed.D. © 2026 ai021.ai, Inc. Free with the book for personal, team, or classroom use. Not for resale. General information only, not financial, legal, medical, or other professional advice. Download every worksheet, the full workbook and more practice: https://www.ai021.ai/book</w:t>
      </w: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BM Plex Serif" w:hAnsi="IBM Plex Serif"/>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Worksheet A3: Part III Forecast Tracker</dc:title>
  <dc:subject>Super Intelligence Will Make You Obsolete companion workbook</dc:subject>
  <dc:creator>Zafrullah Khan, Ed.D.</dc:creator>
  <cp:keywords/>
  <dc:description/>
  <cp:lastModifiedBy>ai021.ai, Inc.</cp:lastModifiedBy>
  <cp:revision>1</cp:revision>
  <dcterms:created xsi:type="dcterms:W3CDTF">2026-10-23T00:24:28Z</dcterms:created>
  <dcterms:modified xsi:type="dcterms:W3CDTF">2026-10-23T00:24:28Z</dcterms:modified>
  <cp:category/>
</cp:coreProperties>
</file>