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A4: Part IV Forecast Tracker</w:t>
      </w:r>
    </w:p>
    <w:p>
      <w:r/>
      <w:r>
        <w:rPr>
          <w:i/>
        </w:rPr>
        <w:t>Companion to</w:t>
      </w:r>
      <w:r>
        <w:t xml:space="preserve"> Super Intelligence Will Make You Obsolete, </w:t>
      </w:r>
      <w:r>
        <w:rPr>
          <w:i/>
        </w:rPr>
        <w:t>Part IV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IV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13</w:t>
            </w:r>
          </w:p>
        </w:tc>
        <w:tc>
          <w:tcPr>
            <w:tcW w:type="dxa" w:w="2160"/>
          </w:tcPr>
          <w:p>
            <w:r>
              <w:t>Discovery reorganizes around problem selection and pipeline direction as the scarce human contributions.</w:t>
            </w:r>
          </w:p>
        </w:tc>
        <w:tc>
          <w:tcPr>
            <w:tcW w:type="dxa" w:w="2160"/>
          </w:tcPr>
          <w:p>
            <w:r/>
          </w:p>
        </w:tc>
        <w:tc>
          <w:tcPr>
            <w:tcW w:type="dxa" w:w="2160"/>
          </w:tcPr>
          <w:p>
            <w:r/>
          </w:p>
        </w:tc>
      </w:tr>
      <w:tr>
        <w:tc>
          <w:tcPr>
            <w:tcW w:type="dxa" w:w="2160"/>
          </w:tcPr>
          <w:p>
            <w:r>
              <w:t>14</w:t>
            </w:r>
          </w:p>
        </w:tc>
        <w:tc>
          <w:tcPr>
            <w:tcW w:type="dxa" w:w="2160"/>
          </w:tcPr>
          <w:p>
            <w:r>
              <w:t>Materials, fusion-relevant engineering, and biotechnology advance at visibly compressed timescales, with progress rates set less by insight than by fabrication, testing, and regulatory clocks.</w:t>
            </w:r>
          </w:p>
        </w:tc>
        <w:tc>
          <w:tcPr>
            <w:tcW w:type="dxa" w:w="2160"/>
          </w:tcPr>
          <w:p>
            <w:r/>
          </w:p>
        </w:tc>
        <w:tc>
          <w:tcPr>
            <w:tcW w:type="dxa" w:w="2160"/>
          </w:tcPr>
          <w:p>
            <w:r/>
          </w:p>
        </w:tc>
      </w:tr>
      <w:tr>
        <w:tc>
          <w:tcPr>
            <w:tcW w:type="dxa" w:w="2160"/>
          </w:tcPr>
          <w:p>
            <w:r>
              <w:t>15</w:t>
            </w:r>
          </w:p>
        </w:tc>
        <w:tc>
          <w:tcPr>
            <w:tcW w:type="dxa" w:w="2160"/>
          </w:tcPr>
          <w:p>
            <w:r>
              <w:t>Human-inventor and human-author doctrines hold formally while boundary litigation over "enough" human contribution defines the decade.</w:t>
            </w:r>
          </w:p>
        </w:tc>
        <w:tc>
          <w:tcPr>
            <w:tcW w:type="dxa" w:w="2160"/>
          </w:tcPr>
          <w:p>
            <w:r/>
          </w:p>
        </w:tc>
        <w:tc>
          <w:tcPr>
            <w:tcW w:type="dxa" w:w="2160"/>
          </w:tcPr>
          <w:p>
            <w:r/>
          </w:p>
        </w:tc>
      </w:tr>
      <w:tr>
        <w:tc>
          <w:tcPr>
            <w:tcW w:type="dxa" w:w="2160"/>
          </w:tcPr>
          <w:p>
            <w:r>
              <w:t>16</w:t>
            </w:r>
          </w:p>
        </w:tc>
        <w:tc>
          <w:tcPr>
            <w:tcW w:type="dxa" w:w="2160"/>
          </w:tcPr>
          <w:p>
            <w:r>
              <w:t>Verification, not generation, becomes the rate limit on usable discovery.</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A4: Part IV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