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A5: Part V Forecast Tracker</w:t>
      </w:r>
    </w:p>
    <w:p>
      <w:r/>
      <w:r>
        <w:rPr>
          <w:i/>
        </w:rPr>
        <w:t>Companion to</w:t>
      </w:r>
      <w:r>
        <w:t xml:space="preserve"> Super Intelligence Will Make You Obsolete, </w:t>
      </w:r>
      <w:r>
        <w:rPr>
          <w:i/>
        </w:rPr>
        <w:t>Part V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17</w:t>
            </w:r>
          </w:p>
        </w:tc>
        <w:tc>
          <w:tcPr>
            <w:tcW w:type="dxa" w:w="2160"/>
          </w:tcPr>
          <w:p>
            <w:r>
              <w:t>Deliberation becomes the bottleneck of legitimacy.</w:t>
            </w:r>
          </w:p>
        </w:tc>
        <w:tc>
          <w:tcPr>
            <w:tcW w:type="dxa" w:w="2160"/>
          </w:tcPr>
          <w:p>
            <w:r/>
          </w:p>
        </w:tc>
        <w:tc>
          <w:tcPr>
            <w:tcW w:type="dxa" w:w="2160"/>
          </w:tcPr>
          <w:p>
            <w:r/>
          </w:p>
        </w:tc>
      </w:tr>
      <w:tr>
        <w:tc>
          <w:tcPr>
            <w:tcW w:type="dxa" w:w="2160"/>
          </w:tcPr>
          <w:p>
            <w:r>
              <w:t>18</w:t>
            </w:r>
          </w:p>
        </w:tc>
        <w:tc>
          <w:tcPr>
            <w:tcW w:type="dxa" w:w="2160"/>
          </w:tcPr>
          <w:p>
            <w:r>
              <w:t>Algorithmic technocracy arrives as procurement, not coup.</w:t>
            </w:r>
          </w:p>
        </w:tc>
        <w:tc>
          <w:tcPr>
            <w:tcW w:type="dxa" w:w="2160"/>
          </w:tcPr>
          <w:p>
            <w:r/>
          </w:p>
        </w:tc>
        <w:tc>
          <w:tcPr>
            <w:tcW w:type="dxa" w:w="2160"/>
          </w:tcPr>
          <w:p>
            <w:r/>
          </w:p>
        </w:tc>
      </w:tr>
      <w:tr>
        <w:tc>
          <w:tcPr>
            <w:tcW w:type="dxa" w:w="2160"/>
          </w:tcPr>
          <w:p>
            <w:r>
              <w:t>19</w:t>
            </w:r>
          </w:p>
        </w:tc>
        <w:tc>
          <w:tcPr>
            <w:tcW w:type="dxa" w:w="2160"/>
          </w:tcPr>
          <w:p>
            <w:r>
              <w:t>The five-layer chokepoint stack (lithography, leading-edge fabs, high-bandwidth memory, refining, energy) persists through the 2030s.</w:t>
            </w:r>
          </w:p>
        </w:tc>
        <w:tc>
          <w:tcPr>
            <w:tcW w:type="dxa" w:w="2160"/>
          </w:tcPr>
          <w:p>
            <w:r/>
          </w:p>
        </w:tc>
        <w:tc>
          <w:tcPr>
            <w:tcW w:type="dxa" w:w="2160"/>
          </w:tcPr>
          <w:p>
            <w:r/>
          </w:p>
        </w:tc>
      </w:tr>
      <w:tr>
        <w:tc>
          <w:tcPr>
            <w:tcW w:type="dxa" w:w="2160"/>
          </w:tcPr>
          <w:p>
            <w:r>
              <w:t>20</w:t>
            </w:r>
          </w:p>
        </w:tc>
        <w:tc>
          <w:tcPr>
            <w:tcW w:type="dxa" w:w="2160"/>
          </w:tcPr>
          <w:p>
            <w:r>
              <w:t>Liability resolves through firms, mandatory insurance, and compensation funds rather than machine personhood.</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A5: Part V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