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Worksheet A6: Part VI Forecast Tracker</w:t>
      </w:r>
    </w:p>
    <w:p>
      <w:r/>
      <w:r>
        <w:rPr>
          <w:i/>
        </w:rPr>
        <w:t>Companion to</w:t>
      </w:r>
      <w:r>
        <w:t xml:space="preserve"> Super Intelligence Will Make You Obsolete, </w:t>
      </w:r>
      <w:r>
        <w:rPr>
          <w:i/>
        </w:rPr>
        <w:t>Part VI Forecast Atlas</w:t>
      </w:r>
      <w:r/>
    </w:p>
    <w:p>
      <w:r/>
      <w:r>
        <w:rPr>
          <w:b/>
        </w:rPr>
        <w:t>Name:</w:t>
      </w:r>
      <w:r>
        <w:t xml:space="preserve"> ____________________   </w:t>
      </w:r>
      <w:r>
        <w:rPr>
          <w:b/>
        </w:rPr>
        <w:t>Date:</w:t>
      </w:r>
      <w:r>
        <w:t xml:space="preserve"> __________</w:t>
      </w:r>
    </w:p>
    <w:p>
      <w:r/>
      <w:r>
        <w:rPr>
          <w:b/>
        </w:rPr>
        <w:t>How to use:</w:t>
      </w:r>
      <w:r>
        <w:t xml:space="preserve"> Each row is one chapter's most likely forecast (Tier 1) from the Part VI Forecast Atlas. Once a quarter, note the signpost you are watching and mark the status: </w:t>
      </w:r>
      <w:r>
        <w:rPr>
          <w:i/>
        </w:rPr>
        <w:t>on track</w:t>
      </w:r>
      <w:r>
        <w:t xml:space="preserve">, </w:t>
      </w:r>
      <w:r>
        <w:rPr>
          <w:i/>
        </w:rPr>
        <w:t>early</w:t>
      </w:r>
      <w:r>
        <w:t xml:space="preserve">, </w:t>
      </w:r>
      <w:r>
        <w:rPr>
          <w:i/>
        </w:rPr>
        <w:t>late</w:t>
      </w:r>
      <w:r>
        <w:t xml:space="preserve"> or </w:t>
      </w:r>
      <w:r>
        <w:rPr>
          <w:i/>
        </w:rPr>
        <w:t>wrong</w:t>
      </w:r>
      <w:r>
        <w:t>. Being wrong is information, not failure.</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rPr>
                <w:b/>
              </w:rPr>
              <w:t>Ch.</w:t>
            </w:r>
          </w:p>
        </w:tc>
        <w:tc>
          <w:tcPr>
            <w:tcW w:type="dxa" w:w="2160"/>
          </w:tcPr>
          <w:p>
            <w:r>
              <w:rPr>
                <w:b/>
              </w:rPr>
              <w:t>Most likely (Tier 1)</w:t>
            </w:r>
          </w:p>
        </w:tc>
        <w:tc>
          <w:tcPr>
            <w:tcW w:type="dxa" w:w="2160"/>
          </w:tcPr>
          <w:p>
            <w:r>
              <w:rPr>
                <w:b/>
              </w:rPr>
              <w:t>Signpost I am watching</w:t>
            </w:r>
          </w:p>
        </w:tc>
        <w:tc>
          <w:tcPr>
            <w:tcW w:type="dxa" w:w="2160"/>
          </w:tcPr>
          <w:p>
            <w:r>
              <w:rPr>
                <w:b/>
              </w:rPr>
              <w:t>Status and date</w:t>
            </w:r>
          </w:p>
        </w:tc>
      </w:tr>
      <w:tr>
        <w:tc>
          <w:tcPr>
            <w:tcW w:type="dxa" w:w="2160"/>
          </w:tcPr>
          <w:p>
            <w:r>
              <w:t>21</w:t>
            </w:r>
          </w:p>
        </w:tc>
        <w:tc>
          <w:tcPr>
            <w:tcW w:type="dxa" w:w="2160"/>
          </w:tcPr>
          <w:p>
            <w:r>
              <w:t>The wage share of national income continues its decline as SI absorbs routine cognition.</w:t>
            </w:r>
          </w:p>
        </w:tc>
        <w:tc>
          <w:tcPr>
            <w:tcW w:type="dxa" w:w="2160"/>
          </w:tcPr>
          <w:p>
            <w:r/>
          </w:p>
        </w:tc>
        <w:tc>
          <w:tcPr>
            <w:tcW w:type="dxa" w:w="2160"/>
          </w:tcPr>
          <w:p>
            <w:r/>
          </w:p>
        </w:tc>
      </w:tr>
      <w:tr>
        <w:tc>
          <w:tcPr>
            <w:tcW w:type="dxa" w:w="2160"/>
          </w:tcPr>
          <w:p>
            <w:r>
              <w:t>22</w:t>
            </w:r>
          </w:p>
        </w:tc>
        <w:tc>
          <w:tcPr>
            <w:tcW w:type="dxa" w:w="2160"/>
          </w:tcPr>
          <w:p>
            <w:r>
              <w:t>Sovereign compute dividends move from essay to at least one real national or large regional implementation, beginning at modest scale.</w:t>
            </w:r>
          </w:p>
        </w:tc>
        <w:tc>
          <w:tcPr>
            <w:tcW w:type="dxa" w:w="2160"/>
          </w:tcPr>
          <w:p>
            <w:r/>
          </w:p>
        </w:tc>
        <w:tc>
          <w:tcPr>
            <w:tcW w:type="dxa" w:w="2160"/>
          </w:tcPr>
          <w:p>
            <w:r/>
          </w:p>
        </w:tc>
      </w:tr>
      <w:tr>
        <w:tc>
          <w:tcPr>
            <w:tcW w:type="dxa" w:w="2160"/>
          </w:tcPr>
          <w:p>
            <w:r>
              <w:t>23</w:t>
            </w:r>
          </w:p>
        </w:tc>
        <w:tc>
          <w:tcPr>
            <w:tcW w:type="dxa" w:w="2160"/>
          </w:tcPr>
          <w:p>
            <w:r>
              <w:t>State revenue migrates from wages to immobile bases and to sovereign fund returns, in rough proportion as the wage base erodes.</w:t>
            </w:r>
          </w:p>
        </w:tc>
        <w:tc>
          <w:tcPr>
            <w:tcW w:type="dxa" w:w="2160"/>
          </w:tcPr>
          <w:p>
            <w:r/>
          </w:p>
        </w:tc>
        <w:tc>
          <w:tcPr>
            <w:tcW w:type="dxa" w:w="2160"/>
          </w:tcPr>
          <w:p>
            <w:r/>
          </w:p>
        </w:tc>
      </w:tr>
      <w:tr>
        <w:tc>
          <w:tcPr>
            <w:tcW w:type="dxa" w:w="2160"/>
          </w:tcPr>
          <w:p>
            <w:r>
              <w:t>24</w:t>
            </w:r>
          </w:p>
        </w:tc>
        <w:tc>
          <w:tcPr>
            <w:tcW w:type="dxa" w:w="2160"/>
          </w:tcPr>
          <w:p>
            <w:r>
              <w:t>Trigger-based, indicator-driven support spreads as the standard architecture, because fixed-date reforms keep mistiming an undated transition.</w:t>
            </w:r>
          </w:p>
        </w:tc>
        <w:tc>
          <w:tcPr>
            <w:tcW w:type="dxa" w:w="2160"/>
          </w:tcPr>
          <w:p>
            <w:r/>
          </w:p>
        </w:tc>
        <w:tc>
          <w:tcPr>
            <w:tcW w:type="dxa" w:w="2160"/>
          </w:tcPr>
          <w:p>
            <w:r/>
          </w:p>
        </w:tc>
      </w:tr>
    </w:tbl>
    <w:p/>
    <w:p>
      <w:r/>
      <w:r>
        <w:rPr>
          <w:b/>
        </w:rPr>
        <w:t>What changed my mind this quarter:</w:t>
      </w:r>
      <w:r>
        <w:t xml:space="preserve"> ______________________________________</w:t>
      </w:r>
    </w:p>
    <w:p>
      <w:r/>
      <w:r>
        <w:rPr>
          <w:i/>
        </w:rPr>
        <w:t>Worksheet from</w:t>
      </w:r>
      <w:r>
        <w:t xml:space="preserve"> Super Intelligence Will Make You Obsolete </w:t>
      </w:r>
      <w:r>
        <w:rPr>
          <w:i/>
        </w:rPr>
        <w:t>by Zafrullah Khan, Ed.D. © 2026 ai021.ai, Inc. Free with the book for personal, team, or classroom use. Not for resale. General information only, not financial, legal, medical, or other professional advice. Download every worksheet, the full workbook and more practice: https://www.ai021.ai/book</w:t>
      </w: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BM Plex Serif" w:hAnsi="IBM Plex Serif"/>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Worksheet A6: Part VI Forecast Tracker</dc:title>
  <dc:subject>Super Intelligence Will Make You Obsolete companion workbook</dc:subject>
  <dc:creator>Zafrullah Khan, Ed.D.</dc:creator>
  <cp:keywords/>
  <dc:description/>
  <cp:lastModifiedBy>ai021.ai, Inc.</cp:lastModifiedBy>
  <cp:revision>1</cp:revision>
  <dcterms:created xsi:type="dcterms:W3CDTF">2026-10-23T00:24:28Z</dcterms:created>
  <dcterms:modified xsi:type="dcterms:W3CDTF">2026-10-23T00:24:28Z</dcterms:modified>
  <cp:category/>
</cp:coreProperties>
</file>