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A7: Part VII Forecast Tracker</w:t>
      </w:r>
    </w:p>
    <w:p>
      <w:r/>
      <w:r>
        <w:rPr>
          <w:i/>
        </w:rPr>
        <w:t>Companion to</w:t>
      </w:r>
      <w:r>
        <w:t xml:space="preserve"> Super Intelligence Will Make You Obsolete, </w:t>
      </w:r>
      <w:r>
        <w:rPr>
          <w:i/>
        </w:rPr>
        <w:t>Part VII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VII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25</w:t>
            </w:r>
          </w:p>
        </w:tc>
        <w:tc>
          <w:tcPr>
            <w:tcW w:type="dxa" w:w="2160"/>
          </w:tcPr>
          <w:p>
            <w:r>
              <w:t>The share of newly produced digital media that is synthetic or synthetically altered rises past the point where unaided human judgment can sort it.</w:t>
            </w:r>
          </w:p>
        </w:tc>
        <w:tc>
          <w:tcPr>
            <w:tcW w:type="dxa" w:w="2160"/>
          </w:tcPr>
          <w:p>
            <w:r/>
          </w:p>
        </w:tc>
        <w:tc>
          <w:tcPr>
            <w:tcW w:type="dxa" w:w="2160"/>
          </w:tcPr>
          <w:p>
            <w:r/>
          </w:p>
        </w:tc>
      </w:tr>
      <w:tr>
        <w:tc>
          <w:tcPr>
            <w:tcW w:type="dxa" w:w="2160"/>
          </w:tcPr>
          <w:p>
            <w:r>
              <w:t>26</w:t>
            </w:r>
          </w:p>
        </w:tc>
        <w:tc>
          <w:tcPr>
            <w:tcW w:type="dxa" w:w="2160"/>
          </w:tcPr>
          <w:p>
            <w:r>
              <w:t>Shared factual baselines fragment further along community and platform lines.</w:t>
            </w:r>
          </w:p>
        </w:tc>
        <w:tc>
          <w:tcPr>
            <w:tcW w:type="dxa" w:w="2160"/>
          </w:tcPr>
          <w:p>
            <w:r/>
          </w:p>
        </w:tc>
        <w:tc>
          <w:tcPr>
            <w:tcW w:type="dxa" w:w="2160"/>
          </w:tcPr>
          <w:p>
            <w:r/>
          </w:p>
        </w:tc>
      </w:tr>
      <w:tr>
        <w:tc>
          <w:tcPr>
            <w:tcW w:type="dxa" w:w="2160"/>
          </w:tcPr>
          <w:p>
            <w:r>
              <w:t>27</w:t>
            </w:r>
          </w:p>
        </w:tc>
        <w:tc>
          <w:tcPr>
            <w:tcW w:type="dxa" w:w="2160"/>
          </w:tcPr>
          <w:p>
            <w:r>
              <w:t>Courts tighten authentication for digital exhibits and re-weight toward corroboration and live testimony.</w:t>
            </w:r>
          </w:p>
        </w:tc>
        <w:tc>
          <w:tcPr>
            <w:tcW w:type="dxa" w:w="2160"/>
          </w:tcPr>
          <w:p>
            <w:r/>
          </w:p>
        </w:tc>
        <w:tc>
          <w:tcPr>
            <w:tcW w:type="dxa" w:w="2160"/>
          </w:tcPr>
          <w:p>
            <w:r/>
          </w:p>
        </w:tc>
      </w:tr>
      <w:tr>
        <w:tc>
          <w:tcPr>
            <w:tcW w:type="dxa" w:w="2160"/>
          </w:tcPr>
          <w:p>
            <w:r>
              <w:t>28</w:t>
            </w:r>
          </w:p>
        </w:tc>
        <w:tc>
          <w:tcPr>
            <w:tcW w:type="dxa" w:w="2160"/>
          </w:tcPr>
          <w:p>
            <w:r>
              <w:t>Capture-time signing and content credentials standardize domain by domain.</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A7: Part VII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