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Worksheet A8: Part VIII Forecast Tracker</w:t>
      </w:r>
    </w:p>
    <w:p>
      <w:r/>
      <w:r>
        <w:rPr>
          <w:i/>
        </w:rPr>
        <w:t>Companion to</w:t>
      </w:r>
      <w:r>
        <w:t xml:space="preserve"> Super Intelligence Will Make You Obsolete, </w:t>
      </w:r>
      <w:r>
        <w:rPr>
          <w:i/>
        </w:rPr>
        <w:t>Part VIII Forecast Atlas</w:t>
      </w:r>
      <w:r/>
    </w:p>
    <w:p>
      <w:r/>
      <w:r>
        <w:rPr>
          <w:b/>
        </w:rPr>
        <w:t>Name:</w:t>
      </w:r>
      <w:r>
        <w:t xml:space="preserve"> ____________________   </w:t>
      </w:r>
      <w:r>
        <w:rPr>
          <w:b/>
        </w:rPr>
        <w:t>Date:</w:t>
      </w:r>
      <w:r>
        <w:t xml:space="preserve"> __________</w:t>
      </w:r>
    </w:p>
    <w:p>
      <w:r/>
      <w:r>
        <w:rPr>
          <w:b/>
        </w:rPr>
        <w:t>How to use:</w:t>
      </w:r>
      <w:r>
        <w:t xml:space="preserve"> Each row is one chapter's most likely forecast (Tier 1) from the Part VIII Forecast Atlas. Once a quarter, note the signpost you are watching and mark the status: </w:t>
      </w:r>
      <w:r>
        <w:rPr>
          <w:i/>
        </w:rPr>
        <w:t>on track</w:t>
      </w:r>
      <w:r>
        <w:t xml:space="preserve">, </w:t>
      </w:r>
      <w:r>
        <w:rPr>
          <w:i/>
        </w:rPr>
        <w:t>early</w:t>
      </w:r>
      <w:r>
        <w:t xml:space="preserve">, </w:t>
      </w:r>
      <w:r>
        <w:rPr>
          <w:i/>
        </w:rPr>
        <w:t>late</w:t>
      </w:r>
      <w:r>
        <w:t xml:space="preserve"> or </w:t>
      </w:r>
      <w:r>
        <w:rPr>
          <w:i/>
        </w:rPr>
        <w:t>wrong</w:t>
      </w:r>
      <w:r>
        <w:t>. Being wrong is information, not failure.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Ch.</w:t>
            </w:r>
          </w:p>
        </w:tc>
        <w:tc>
          <w:tcPr>
            <w:tcW w:type="dxa" w:w="2160"/>
          </w:tcPr>
          <w:p>
            <w:r>
              <w:rPr>
                <w:b/>
              </w:rPr>
              <w:t>Most likely (Tier 1)</w:t>
            </w:r>
          </w:p>
        </w:tc>
        <w:tc>
          <w:tcPr>
            <w:tcW w:type="dxa" w:w="2160"/>
          </w:tcPr>
          <w:p>
            <w:r>
              <w:rPr>
                <w:b/>
              </w:rPr>
              <w:t>Signpost I am watching</w:t>
            </w:r>
          </w:p>
        </w:tc>
        <w:tc>
          <w:tcPr>
            <w:tcW w:type="dxa" w:w="2160"/>
          </w:tcPr>
          <w:p>
            <w:r>
              <w:rPr>
                <w:b/>
              </w:rPr>
              <w:t>Status and date</w:t>
            </w:r>
          </w:p>
        </w:tc>
      </w:tr>
      <w:tr>
        <w:tc>
          <w:tcPr>
            <w:tcW w:type="dxa" w:w="2160"/>
          </w:tcPr>
          <w:p>
            <w:r>
              <w:t>29</w:t>
            </w:r>
          </w:p>
        </w:tc>
        <w:tc>
          <w:tcPr>
            <w:tcW w:type="dxa" w:w="2160"/>
          </w:tcPr>
          <w:p>
            <w:r>
              <w:t>Measurable decline in unaided performance (navigation, recall, arithmetic fluency, sustained reading) continues in heavily assisted populations, following the established pattern of skill decay under automation.</w:t>
            </w:r>
          </w:p>
        </w:tc>
        <w:tc>
          <w:tcPr>
            <w:tcW w:type="dxa" w:w="2160"/>
          </w:tcPr>
          <w:p>
            <w:r/>
          </w:p>
        </w:tc>
        <w:tc>
          <w:tcPr>
            <w:tcW w:type="dxa" w:w="2160"/>
          </w:tcPr>
          <w:p>
            <w:r/>
          </w:p>
        </w:tc>
      </w:tr>
      <w:tr>
        <w:tc>
          <w:tcPr>
            <w:tcW w:type="dxa" w:w="2160"/>
          </w:tcPr>
          <w:p>
            <w:r>
              <w:t>30</w:t>
            </w:r>
          </w:p>
        </w:tc>
        <w:tc>
          <w:tcPr>
            <w:tcW w:type="dxa" w:w="2160"/>
          </w:tcPr>
          <w:p>
            <w:r>
              <w:t>External augmentation captures the large majority of practical cognitive-enhancement benefit through the coming decades, because it improves annually without surgical risk.</w:t>
            </w:r>
          </w:p>
        </w:tc>
        <w:tc>
          <w:tcPr>
            <w:tcW w:type="dxa" w:w="2160"/>
          </w:tcPr>
          <w:p>
            <w:r/>
          </w:p>
        </w:tc>
        <w:tc>
          <w:tcPr>
            <w:tcW w:type="dxa" w:w="2160"/>
          </w:tcPr>
          <w:p>
            <w:r/>
          </w:p>
        </w:tc>
      </w:tr>
      <w:tr>
        <w:tc>
          <w:tcPr>
            <w:tcW w:type="dxa" w:w="2160"/>
          </w:tcPr>
          <w:p>
            <w:r>
              <w:t>31</w:t>
            </w:r>
          </w:p>
        </w:tc>
        <w:tc>
          <w:tcPr>
            <w:tcW w:type="dxa" w:w="2160"/>
          </w:tcPr>
          <w:p>
            <w:r>
              <w:t>Restoration widens steadily.</w:t>
            </w:r>
          </w:p>
        </w:tc>
        <w:tc>
          <w:tcPr>
            <w:tcW w:type="dxa" w:w="2160"/>
          </w:tcPr>
          <w:p>
            <w:r/>
          </w:p>
        </w:tc>
        <w:tc>
          <w:tcPr>
            <w:tcW w:type="dxa" w:w="2160"/>
          </w:tcPr>
          <w:p>
            <w:r/>
          </w:p>
        </w:tc>
      </w:tr>
      <w:tr>
        <w:tc>
          <w:tcPr>
            <w:tcW w:type="dxa" w:w="2160"/>
          </w:tcPr>
          <w:p>
            <w:r>
              <w:t>32</w:t>
            </w:r>
          </w:p>
        </w:tc>
        <w:tc>
          <w:tcPr>
            <w:tcW w:type="dxa" w:w="2160"/>
          </w:tcPr>
          <w:p>
            <w:r>
              <w:t>Tournament summits gate first while the complementary baseline economy persists.</w:t>
            </w:r>
          </w:p>
        </w:tc>
        <w:tc>
          <w:tcPr>
            <w:tcW w:type="dxa" w:w="2160"/>
          </w:tcPr>
          <w:p>
            <w:r/>
          </w:p>
        </w:tc>
        <w:tc>
          <w:tcPr>
            <w:tcW w:type="dxa" w:w="2160"/>
          </w:tcPr>
          <w:p>
            <w:r/>
          </w:p>
        </w:tc>
      </w:tr>
    </w:tbl>
    <w:p/>
    <w:p>
      <w:r/>
      <w:r>
        <w:rPr>
          <w:b/>
        </w:rPr>
        <w:t>What changed my mind this quarter:</w:t>
      </w:r>
      <w:r>
        <w:t xml:space="preserve"> ______________________________________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BM Plex Serif" w:hAnsi="IBM Plex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A8: Part VIII Forecast Tracker</dc:title>
  <dc:subject>Super Intelligence Will Make You Obsolete companion workbook</dc:subject>
  <dc:creator>Zafrullah Khan, Ed.D.</dc:creator>
  <cp:keywords/>
  <dc:description/>
  <cp:lastModifiedBy>ai021.ai, Inc.</cp:lastModifiedBy>
  <cp:revision>1</cp:revision>
  <dcterms:created xsi:type="dcterms:W3CDTF">2026-10-23T00:24:28Z</dcterms:created>
  <dcterms:modified xsi:type="dcterms:W3CDTF">2026-10-23T00:24:28Z</dcterms:modified>
  <cp:category/>
</cp:coreProperties>
</file>