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A10: Part X Forecast Tracker</w:t>
      </w:r>
    </w:p>
    <w:p>
      <w:r/>
      <w:r>
        <w:rPr>
          <w:i/>
        </w:rPr>
        <w:t>Companion to</w:t>
      </w:r>
      <w:r>
        <w:t xml:space="preserve"> Super Intelligence Will Make You Obsolete, </w:t>
      </w:r>
      <w:r>
        <w:rPr>
          <w:i/>
        </w:rPr>
        <w:t>Part X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37</w:t>
            </w:r>
          </w:p>
        </w:tc>
        <w:tc>
          <w:tcPr>
            <w:tcW w:type="dxa" w:w="2160"/>
          </w:tcPr>
          <w:p>
            <w:r>
              <w:t>Embodied capability is governed everywhere by physical constraint, not capability headlines: actuator torque density, thermal ceilings, and battery chemistry set the real deployment envelope, and platforms ship with force and speed envelopes far below their theoretical maxima in inhabited spaces.</w:t>
            </w:r>
          </w:p>
        </w:tc>
        <w:tc>
          <w:tcPr>
            <w:tcW w:type="dxa" w:w="2160"/>
          </w:tcPr>
          <w:p>
            <w:r/>
          </w:p>
        </w:tc>
        <w:tc>
          <w:tcPr>
            <w:tcW w:type="dxa" w:w="2160"/>
          </w:tcPr>
          <w:p>
            <w:r/>
          </w:p>
        </w:tc>
      </w:tr>
      <w:tr>
        <w:tc>
          <w:tcPr>
            <w:tcW w:type="dxa" w:w="2160"/>
          </w:tcPr>
          <w:p>
            <w:r>
              <w:t>38</w:t>
            </w:r>
          </w:p>
        </w:tc>
        <w:tc>
          <w:tcPr>
            <w:tcW w:type="dxa" w:w="2160"/>
          </w:tcPr>
          <w:p>
            <w:r>
              <w:t>Performed limitation becomes standard, certified behavior for domestic and care platforms.</w:t>
            </w:r>
          </w:p>
        </w:tc>
        <w:tc>
          <w:tcPr>
            <w:tcW w:type="dxa" w:w="2160"/>
          </w:tcPr>
          <w:p>
            <w:r/>
          </w:p>
        </w:tc>
        <w:tc>
          <w:tcPr>
            <w:tcW w:type="dxa" w:w="2160"/>
          </w:tcPr>
          <w:p>
            <w:r/>
          </w:p>
        </w:tc>
      </w:tr>
      <w:tr>
        <w:tc>
          <w:tcPr>
            <w:tcW w:type="dxa" w:w="2160"/>
          </w:tcPr>
          <w:p>
            <w:r>
              <w:t>39</w:t>
            </w:r>
          </w:p>
        </w:tc>
        <w:tc>
          <w:tcPr>
            <w:tcW w:type="dxa" w:w="2160"/>
          </w:tcPr>
          <w:p>
            <w:r>
              <w:t>Machine authority is granted first and fullest in emergency and industrial arenas.</w:t>
            </w:r>
          </w:p>
        </w:tc>
        <w:tc>
          <w:tcPr>
            <w:tcW w:type="dxa" w:w="2160"/>
          </w:tcPr>
          <w:p>
            <w:r/>
          </w:p>
        </w:tc>
        <w:tc>
          <w:tcPr>
            <w:tcW w:type="dxa" w:w="2160"/>
          </w:tcPr>
          <w:p>
            <w:r/>
          </w:p>
        </w:tc>
      </w:tr>
      <w:tr>
        <w:tc>
          <w:tcPr>
            <w:tcW w:type="dxa" w:w="2160"/>
          </w:tcPr>
          <w:p>
            <w:r>
              <w:t>40</w:t>
            </w:r>
          </w:p>
        </w:tc>
        <w:tc>
          <w:tcPr>
            <w:tcW w:type="dxa" w:w="2160"/>
          </w:tcPr>
          <w:p>
            <w:r>
              <w:t>Deference is priced.</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A10: Part X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