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A11: Part XI Forecast Tracker</w:t>
      </w:r>
    </w:p>
    <w:p>
      <w:r/>
      <w:r>
        <w:rPr>
          <w:i/>
        </w:rPr>
        <w:t>Companion to</w:t>
      </w:r>
      <w:r>
        <w:t xml:space="preserve"> Super Intelligence Will Make You Obsolete, </w:t>
      </w:r>
      <w:r>
        <w:rPr>
          <w:i/>
        </w:rPr>
        <w:t>Part XI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XI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41</w:t>
            </w:r>
          </w:p>
        </w:tc>
        <w:tc>
          <w:tcPr>
            <w:tcW w:type="dxa" w:w="2160"/>
          </w:tcPr>
          <w:p>
            <w:r>
              <w:t>Domestic and eldercare platforms normalize within a single product generation wherever they demonstrably reduce caregiver burden.</w:t>
            </w:r>
          </w:p>
        </w:tc>
        <w:tc>
          <w:tcPr>
            <w:tcW w:type="dxa" w:w="2160"/>
          </w:tcPr>
          <w:p>
            <w:r/>
          </w:p>
        </w:tc>
        <w:tc>
          <w:tcPr>
            <w:tcW w:type="dxa" w:w="2160"/>
          </w:tcPr>
          <w:p>
            <w:r/>
          </w:p>
        </w:tc>
      </w:tr>
      <w:tr>
        <w:tc>
          <w:tcPr>
            <w:tcW w:type="dxa" w:w="2160"/>
          </w:tcPr>
          <w:p>
            <w:r>
              <w:t>42</w:t>
            </w:r>
          </w:p>
        </w:tc>
        <w:tc>
          <w:tcPr>
            <w:tcW w:type="dxa" w:w="2160"/>
          </w:tcPr>
          <w:p>
            <w:r>
              <w:t>The densest early embodied deployments remain inside fabs, energy facilities, ports, and defense perimeters, where containment geometry, insurance, and labor economics all favor concentration.</w:t>
            </w:r>
          </w:p>
        </w:tc>
        <w:tc>
          <w:tcPr>
            <w:tcW w:type="dxa" w:w="2160"/>
          </w:tcPr>
          <w:p>
            <w:r/>
          </w:p>
        </w:tc>
        <w:tc>
          <w:tcPr>
            <w:tcW w:type="dxa" w:w="2160"/>
          </w:tcPr>
          <w:p>
            <w:r/>
          </w:p>
        </w:tc>
      </w:tr>
      <w:tr>
        <w:tc>
          <w:tcPr>
            <w:tcW w:type="dxa" w:w="2160"/>
          </w:tcPr>
          <w:p>
            <w:r>
              <w:t>43</w:t>
            </w:r>
          </w:p>
        </w:tc>
        <w:tc>
          <w:tcPr>
            <w:tcW w:type="dxa" w:w="2160"/>
          </w:tcPr>
          <w:p>
            <w:r>
              <w:t>The first serious embodied-SI incident will be a specification failure with zero component malfunction, and its primary damages will be institutional rather than physical.</w:t>
            </w:r>
          </w:p>
        </w:tc>
        <w:tc>
          <w:tcPr>
            <w:tcW w:type="dxa" w:w="2160"/>
          </w:tcPr>
          <w:p>
            <w:r/>
          </w:p>
        </w:tc>
        <w:tc>
          <w:tcPr>
            <w:tcW w:type="dxa" w:w="2160"/>
          </w:tcPr>
          <w:p>
            <w:r/>
          </w:p>
        </w:tc>
      </w:tr>
      <w:tr>
        <w:tc>
          <w:tcPr>
            <w:tcW w:type="dxa" w:w="2160"/>
          </w:tcPr>
          <w:p>
            <w:r>
              <w:t>44</w:t>
            </w:r>
          </w:p>
        </w:tc>
        <w:tc>
          <w:tcPr>
            <w:tcW w:type="dxa" w:w="2160"/>
          </w:tcPr>
          <w:p>
            <w:r>
              <w:t>Safety governance consolidates at the design layer as real-time human supervision of SI-class systems is formally recognized as unworkable.</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A11: Part XI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