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A12: Part XII Forecast Tracker</w:t>
      </w:r>
    </w:p>
    <w:p>
      <w:r/>
      <w:r>
        <w:rPr>
          <w:i/>
        </w:rPr>
        <w:t>Companion to</w:t>
      </w:r>
      <w:r>
        <w:t xml:space="preserve"> Super Intelligence Will Make You Obsolete, </w:t>
      </w:r>
      <w:r>
        <w:rPr>
          <w:i/>
        </w:rPr>
        <w:t>Part XII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XII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45</w:t>
            </w:r>
          </w:p>
        </w:tc>
        <w:tc>
          <w:tcPr>
            <w:tcW w:type="dxa" w:w="2160"/>
          </w:tcPr>
          <w:p>
            <w:r>
              <w:t>Phishing-resistant credentials, local data vaults, and explicit family verification rituals become normal defenses as synthetic impersonation spreads.</w:t>
            </w:r>
          </w:p>
        </w:tc>
        <w:tc>
          <w:tcPr>
            <w:tcW w:type="dxa" w:w="2160"/>
          </w:tcPr>
          <w:p>
            <w:r/>
          </w:p>
        </w:tc>
        <w:tc>
          <w:tcPr>
            <w:tcW w:type="dxa" w:w="2160"/>
          </w:tcPr>
          <w:p>
            <w:r/>
          </w:p>
        </w:tc>
      </w:tr>
      <w:tr>
        <w:tc>
          <w:tcPr>
            <w:tcW w:type="dxa" w:w="2160"/>
          </w:tcPr>
          <w:p>
            <w:r>
              <w:t>46</w:t>
            </w:r>
          </w:p>
        </w:tc>
        <w:tc>
          <w:tcPr>
            <w:tcW w:type="dxa" w:w="2160"/>
          </w:tcPr>
          <w:p>
            <w:r>
              <w:t>Serious organizations map dependencies on models, clouds, identity providers, data sources, energy, and chips, and rehearse degraded operations rather than treating continuity as an information-technology detail.</w:t>
            </w:r>
          </w:p>
        </w:tc>
        <w:tc>
          <w:tcPr>
            <w:tcW w:type="dxa" w:w="2160"/>
          </w:tcPr>
          <w:p>
            <w:r/>
          </w:p>
        </w:tc>
        <w:tc>
          <w:tcPr>
            <w:tcW w:type="dxa" w:w="2160"/>
          </w:tcPr>
          <w:p>
            <w:r/>
          </w:p>
        </w:tc>
      </w:tr>
      <w:tr>
        <w:tc>
          <w:tcPr>
            <w:tcW w:type="dxa" w:w="2160"/>
          </w:tcPr>
          <w:p>
            <w:r>
              <w:t>47</w:t>
            </w:r>
          </w:p>
        </w:tc>
        <w:tc>
          <w:tcPr>
            <w:tcW w:type="dxa" w:w="2160"/>
          </w:tcPr>
          <w:p>
            <w:r>
              <w:t>Personhood assurance becomes layered into finance, benefits, elections administration, platforms, and scarce allocations, with hybrid systems prevailing over any single biometric or cryptographic method.</w:t>
            </w:r>
          </w:p>
        </w:tc>
        <w:tc>
          <w:tcPr>
            <w:tcW w:type="dxa" w:w="2160"/>
          </w:tcPr>
          <w:p>
            <w:r/>
          </w:p>
        </w:tc>
        <w:tc>
          <w:tcPr>
            <w:tcW w:type="dxa" w:w="2160"/>
          </w:tcPr>
          <w:p>
            <w:r/>
          </w:p>
        </w:tc>
      </w:tr>
      <w:tr>
        <w:tc>
          <w:tcPr>
            <w:tcW w:type="dxa" w:w="2160"/>
          </w:tcPr>
          <w:p>
            <w:r>
              <w:t>48</w:t>
            </w:r>
          </w:p>
        </w:tc>
        <w:tc>
          <w:tcPr>
            <w:tcW w:type="dxa" w:w="2160"/>
          </w:tcPr>
          <w:p>
            <w:r>
              <w:t>Elements of Slow Burn, Fast Takeoff, and Stalled Winter coexist across sectors and countries rather than resolving into one uniform global timeline.</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A12: Part XII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