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10: Kit 10, Ten Moves for the Physical Arrival</w:t>
      </w:r>
    </w:p>
    <w:p>
      <w:r/>
      <w:r>
        <w:rPr>
          <w:i/>
        </w:rPr>
        <w:t>Companion to</w:t>
      </w:r>
      <w:r>
        <w:t xml:space="preserve"> Super Intelligence Will Make You Obsolete, </w:t>
      </w:r>
      <w:r>
        <w:rPr>
          <w:i/>
        </w:rPr>
        <w:t>Part X, Future-Proofing Kit 10</w:t>
      </w:r>
      <w:r/>
    </w:p>
    <w:p>
      <w:r/>
      <w:r>
        <w:rPr>
          <w:b/>
        </w:rPr>
        <w:t>Name:</w:t>
      </w:r>
      <w:r>
        <w:t xml:space="preserve"> ____________________   </w:t>
      </w:r>
      <w:r>
        <w:rPr>
          <w:b/>
        </w:rPr>
        <w:t>Date:</w:t>
      </w:r>
      <w:r>
        <w:t xml:space="preserve"> __________</w:t>
      </w:r>
    </w:p>
    <w:p>
      <w:r/>
      <w:r>
        <w:rPr>
          <w:b/>
        </w:rPr>
        <w:t>How to use:</w:t>
      </w:r>
      <w:r>
        <w:t xml:space="preserve"> Read Future-Proofing Kit 10 in Part X.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Write your house rules before the devices arrive</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override charter with every embodied purchase</w:t>
            </w:r>
          </w:p>
        </w:tc>
        <w:tc>
          <w:tcPr>
            <w:tcW w:type="dxa" w:w="1728"/>
          </w:tcPr>
          <w:p>
            <w:r/>
          </w:p>
        </w:tc>
        <w:tc>
          <w:tcPr>
            <w:tcW w:type="dxa" w:w="1728"/>
          </w:tcPr>
          <w:p>
            <w:r/>
          </w:p>
        </w:tc>
        <w:tc>
          <w:tcPr>
            <w:tcW w:type="dxa" w:w="1728"/>
          </w:tcPr>
          <w:p>
            <w:r/>
          </w:p>
        </w:tc>
      </w:tr>
      <w:tr>
        <w:tc>
          <w:tcPr>
            <w:tcW w:type="dxa" w:w="1728"/>
          </w:tcPr>
          <w:p>
            <w:r>
              <w:t>3</w:t>
            </w:r>
          </w:p>
        </w:tc>
        <w:tc>
          <w:tcPr>
            <w:tcW w:type="dxa" w:w="1728"/>
          </w:tcPr>
          <w:p>
            <w:r>
              <w:t>Buy envelopes, not demonstrations</w:t>
            </w:r>
          </w:p>
        </w:tc>
        <w:tc>
          <w:tcPr>
            <w:tcW w:type="dxa" w:w="1728"/>
          </w:tcPr>
          <w:p>
            <w:r/>
          </w:p>
        </w:tc>
        <w:tc>
          <w:tcPr>
            <w:tcW w:type="dxa" w:w="1728"/>
          </w:tcPr>
          <w:p>
            <w:r/>
          </w:p>
        </w:tc>
        <w:tc>
          <w:tcPr>
            <w:tcW w:type="dxa" w:w="1728"/>
          </w:tcPr>
          <w:p>
            <w:r/>
          </w:p>
        </w:tc>
      </w:tr>
      <w:tr>
        <w:tc>
          <w:tcPr>
            <w:tcW w:type="dxa" w:w="1728"/>
          </w:tcPr>
          <w:p>
            <w:r>
              <w:t>4</w:t>
            </w:r>
          </w:p>
        </w:tc>
        <w:tc>
          <w:tcPr>
            <w:tcW w:type="dxa" w:w="1728"/>
          </w:tcPr>
          <w:p>
            <w:r>
              <w:t>Keep one room unwitnessed</w:t>
            </w:r>
          </w:p>
        </w:tc>
        <w:tc>
          <w:tcPr>
            <w:tcW w:type="dxa" w:w="1728"/>
          </w:tcPr>
          <w:p>
            <w:r/>
          </w:p>
        </w:tc>
        <w:tc>
          <w:tcPr>
            <w:tcW w:type="dxa" w:w="1728"/>
          </w:tcPr>
          <w:p>
            <w:r/>
          </w:p>
        </w:tc>
        <w:tc>
          <w:tcPr>
            <w:tcW w:type="dxa" w:w="1728"/>
          </w:tcPr>
          <w:p>
            <w:r/>
          </w:p>
        </w:tc>
      </w:tr>
      <w:tr>
        <w:tc>
          <w:tcPr>
            <w:tcW w:type="dxa" w:w="1728"/>
          </w:tcPr>
          <w:p>
            <w:r>
              <w:t>5</w:t>
            </w:r>
          </w:p>
        </w:tc>
        <w:tc>
          <w:tcPr>
            <w:tcW w:type="dxa" w:w="1728"/>
          </w:tcPr>
          <w:p>
            <w:r>
              <w:t>Practise manual competence at home, on schedule</w:t>
            </w:r>
          </w:p>
        </w:tc>
        <w:tc>
          <w:tcPr>
            <w:tcW w:type="dxa" w:w="1728"/>
          </w:tcPr>
          <w:p>
            <w:r/>
          </w:p>
        </w:tc>
        <w:tc>
          <w:tcPr>
            <w:tcW w:type="dxa" w:w="1728"/>
          </w:tcPr>
          <w:p>
            <w:r/>
          </w:p>
        </w:tc>
        <w:tc>
          <w:tcPr>
            <w:tcW w:type="dxa" w:w="1728"/>
          </w:tcPr>
          <w:p>
            <w:r/>
          </w:p>
        </w:tc>
      </w:tr>
      <w:tr>
        <w:tc>
          <w:tcPr>
            <w:tcW w:type="dxa" w:w="1728"/>
          </w:tcPr>
          <w:p>
            <w:r>
              <w:t>6</w:t>
            </w:r>
          </w:p>
        </w:tc>
        <w:tc>
          <w:tcPr>
            <w:tcW w:type="dxa" w:w="1728"/>
          </w:tcPr>
          <w:p>
            <w:r>
              <w:t>Teach children physical confidence deliberately</w:t>
            </w:r>
          </w:p>
        </w:tc>
        <w:tc>
          <w:tcPr>
            <w:tcW w:type="dxa" w:w="1728"/>
          </w:tcPr>
          <w:p>
            <w:r/>
          </w:p>
        </w:tc>
        <w:tc>
          <w:tcPr>
            <w:tcW w:type="dxa" w:w="1728"/>
          </w:tcPr>
          <w:p>
            <w:r/>
          </w:p>
        </w:tc>
        <w:tc>
          <w:tcPr>
            <w:tcW w:type="dxa" w:w="1728"/>
          </w:tcPr>
          <w:p>
            <w:r/>
          </w:p>
        </w:tc>
      </w:tr>
      <w:tr>
        <w:tc>
          <w:tcPr>
            <w:tcW w:type="dxa" w:w="1728"/>
          </w:tcPr>
          <w:p>
            <w:r>
              <w:t>7</w:t>
            </w:r>
          </w:p>
        </w:tc>
        <w:tc>
          <w:tcPr>
            <w:tcW w:type="dxa" w:w="1728"/>
          </w:tcPr>
          <w:p>
            <w:r>
              <w:t>Set the recording policy like you set the locks</w:t>
            </w:r>
          </w:p>
        </w:tc>
        <w:tc>
          <w:tcPr>
            <w:tcW w:type="dxa" w:w="1728"/>
          </w:tcPr>
          <w:p>
            <w:r/>
          </w:p>
        </w:tc>
        <w:tc>
          <w:tcPr>
            <w:tcW w:type="dxa" w:w="1728"/>
          </w:tcPr>
          <w:p>
            <w:r/>
          </w:p>
        </w:tc>
        <w:tc>
          <w:tcPr>
            <w:tcW w:type="dxa" w:w="1728"/>
          </w:tcPr>
          <w:p>
            <w:r/>
          </w:p>
        </w:tc>
      </w:tr>
      <w:tr>
        <w:tc>
          <w:tcPr>
            <w:tcW w:type="dxa" w:w="1728"/>
          </w:tcPr>
          <w:p>
            <w:r>
              <w:t>8</w:t>
            </w:r>
          </w:p>
        </w:tc>
        <w:tc>
          <w:tcPr>
            <w:tcW w:type="dxa" w:w="1728"/>
          </w:tcPr>
          <w:p>
            <w:r>
              <w:t>Spend the machine dividend on purpose</w:t>
            </w:r>
          </w:p>
        </w:tc>
        <w:tc>
          <w:tcPr>
            <w:tcW w:type="dxa" w:w="1728"/>
          </w:tcPr>
          <w:p>
            <w:r/>
          </w:p>
        </w:tc>
        <w:tc>
          <w:tcPr>
            <w:tcW w:type="dxa" w:w="1728"/>
          </w:tcPr>
          <w:p>
            <w:r/>
          </w:p>
        </w:tc>
        <w:tc>
          <w:tcPr>
            <w:tcW w:type="dxa" w:w="1728"/>
          </w:tcPr>
          <w:p>
            <w:r/>
          </w:p>
        </w:tc>
      </w:tr>
      <w:tr>
        <w:tc>
          <w:tcPr>
            <w:tcW w:type="dxa" w:w="1728"/>
          </w:tcPr>
          <w:p>
            <w:r>
              <w:t>9</w:t>
            </w:r>
          </w:p>
        </w:tc>
        <w:tc>
          <w:tcPr>
            <w:tcW w:type="dxa" w:w="1728"/>
          </w:tcPr>
          <w:p>
            <w:r>
              <w:t>Learn the local rules of the shared channels</w:t>
            </w:r>
          </w:p>
        </w:tc>
        <w:tc>
          <w:tcPr>
            <w:tcW w:type="dxa" w:w="1728"/>
          </w:tcPr>
          <w:p>
            <w:r/>
          </w:p>
        </w:tc>
        <w:tc>
          <w:tcPr>
            <w:tcW w:type="dxa" w:w="1728"/>
          </w:tcPr>
          <w:p>
            <w:r/>
          </w:p>
        </w:tc>
        <w:tc>
          <w:tcPr>
            <w:tcW w:type="dxa" w:w="1728"/>
          </w:tcPr>
          <w:p>
            <w:r/>
          </w:p>
        </w:tc>
      </w:tr>
      <w:tr>
        <w:tc>
          <w:tcPr>
            <w:tcW w:type="dxa" w:w="1728"/>
          </w:tcPr>
          <w:p>
            <w:r>
              <w:t>10</w:t>
            </w:r>
          </w:p>
        </w:tc>
        <w:tc>
          <w:tcPr>
            <w:tcW w:type="dxa" w:w="1728"/>
          </w:tcPr>
          <w:p>
            <w:r>
              <w:t>Keep a human-only commitment in your calendar</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10: Kit 10, Ten Moves for the Physical Arrival</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