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11: Kit 11, Ten Moves for First Contact</w:t>
      </w:r>
    </w:p>
    <w:p>
      <w:r/>
      <w:r>
        <w:rPr>
          <w:i/>
        </w:rPr>
        <w:t>Companion to</w:t>
      </w:r>
      <w:r>
        <w:t xml:space="preserve"> Super Intelligence Will Make You Obsolete, </w:t>
      </w:r>
      <w:r>
        <w:rPr>
          <w:i/>
        </w:rPr>
        <w:t>Part XI, Future-Proofing Kit 11</w:t>
      </w:r>
      <w:r/>
    </w:p>
    <w:p>
      <w:r/>
      <w:r>
        <w:rPr>
          <w:b/>
        </w:rPr>
        <w:t>Name:</w:t>
      </w:r>
      <w:r>
        <w:t xml:space="preserve"> ____________________   </w:t>
      </w:r>
      <w:r>
        <w:rPr>
          <w:b/>
        </w:rPr>
        <w:t>Date:</w:t>
      </w:r>
      <w:r>
        <w:t xml:space="preserve"> __________</w:t>
      </w:r>
    </w:p>
    <w:p>
      <w:r/>
      <w:r>
        <w:rPr>
          <w:b/>
        </w:rPr>
        <w:t>How to use:</w:t>
      </w:r>
      <w:r>
        <w:t xml:space="preserve"> Read Future-Proofing Kit 11 in Part XI.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Ask the stoppability question about every system you admit into your life</w:t>
            </w:r>
          </w:p>
        </w:tc>
        <w:tc>
          <w:tcPr>
            <w:tcW w:type="dxa" w:w="1728"/>
          </w:tcPr>
          <w:p>
            <w:r/>
          </w:p>
        </w:tc>
        <w:tc>
          <w:tcPr>
            <w:tcW w:type="dxa" w:w="1728"/>
          </w:tcPr>
          <w:p>
            <w:r/>
          </w:p>
        </w:tc>
        <w:tc>
          <w:tcPr>
            <w:tcW w:type="dxa" w:w="1728"/>
          </w:tcPr>
          <w:p>
            <w:r/>
          </w:p>
        </w:tc>
      </w:tr>
      <w:tr>
        <w:tc>
          <w:tcPr>
            <w:tcW w:type="dxa" w:w="1728"/>
          </w:tcPr>
          <w:p>
            <w:r>
              <w:t>2</w:t>
            </w:r>
          </w:p>
        </w:tc>
        <w:tc>
          <w:tcPr>
            <w:tcW w:type="dxa" w:w="1728"/>
          </w:tcPr>
          <w:p>
            <w:r>
              <w:t>Demand the Audit Protocol before deployment, not after the incident</w:t>
            </w:r>
          </w:p>
        </w:tc>
        <w:tc>
          <w:tcPr>
            <w:tcW w:type="dxa" w:w="1728"/>
          </w:tcPr>
          <w:p>
            <w:r/>
          </w:p>
        </w:tc>
        <w:tc>
          <w:tcPr>
            <w:tcW w:type="dxa" w:w="1728"/>
          </w:tcPr>
          <w:p>
            <w:r/>
          </w:p>
        </w:tc>
        <w:tc>
          <w:tcPr>
            <w:tcW w:type="dxa" w:w="1728"/>
          </w:tcPr>
          <w:p>
            <w:r/>
          </w:p>
        </w:tc>
      </w:tr>
      <w:tr>
        <w:tc>
          <w:tcPr>
            <w:tcW w:type="dxa" w:w="1728"/>
          </w:tcPr>
          <w:p>
            <w:r>
              <w:t>3</w:t>
            </w:r>
          </w:p>
        </w:tc>
        <w:tc>
          <w:tcPr>
            <w:tcW w:type="dxa" w:w="1728"/>
          </w:tcPr>
          <w:p>
            <w:r>
              <w:t>Know your local enclaves</w:t>
            </w:r>
          </w:p>
        </w:tc>
        <w:tc>
          <w:tcPr>
            <w:tcW w:type="dxa" w:w="1728"/>
          </w:tcPr>
          <w:p>
            <w:r/>
          </w:p>
        </w:tc>
        <w:tc>
          <w:tcPr>
            <w:tcW w:type="dxa" w:w="1728"/>
          </w:tcPr>
          <w:p>
            <w:r/>
          </w:p>
        </w:tc>
        <w:tc>
          <w:tcPr>
            <w:tcW w:type="dxa" w:w="1728"/>
          </w:tcPr>
          <w:p>
            <w:r/>
          </w:p>
        </w:tc>
      </w:tr>
      <w:tr>
        <w:tc>
          <w:tcPr>
            <w:tcW w:type="dxa" w:w="1728"/>
          </w:tcPr>
          <w:p>
            <w:r>
              <w:t>4</w:t>
            </w:r>
          </w:p>
        </w:tc>
        <w:tc>
          <w:tcPr>
            <w:tcW w:type="dxa" w:w="1728"/>
          </w:tcPr>
          <w:p>
            <w:r>
              <w:t>Support incident registries, publicly and by name</w:t>
            </w:r>
          </w:p>
        </w:tc>
        <w:tc>
          <w:tcPr>
            <w:tcW w:type="dxa" w:w="1728"/>
          </w:tcPr>
          <w:p>
            <w:r/>
          </w:p>
        </w:tc>
        <w:tc>
          <w:tcPr>
            <w:tcW w:type="dxa" w:w="1728"/>
          </w:tcPr>
          <w:p>
            <w:r/>
          </w:p>
        </w:tc>
        <w:tc>
          <w:tcPr>
            <w:tcW w:type="dxa" w:w="1728"/>
          </w:tcPr>
          <w:p>
            <w:r/>
          </w:p>
        </w:tc>
      </w:tr>
      <w:tr>
        <w:tc>
          <w:tcPr>
            <w:tcW w:type="dxa" w:w="1728"/>
          </w:tcPr>
          <w:p>
            <w:r>
              <w:t>5</w:t>
            </w:r>
          </w:p>
        </w:tc>
        <w:tc>
          <w:tcPr>
            <w:tcW w:type="dxa" w:w="1728"/>
          </w:tcPr>
          <w:p>
            <w:r>
              <w:t>Insist that your insurer's questions become your questions</w:t>
            </w:r>
          </w:p>
        </w:tc>
        <w:tc>
          <w:tcPr>
            <w:tcW w:type="dxa" w:w="1728"/>
          </w:tcPr>
          <w:p>
            <w:r/>
          </w:p>
        </w:tc>
        <w:tc>
          <w:tcPr>
            <w:tcW w:type="dxa" w:w="1728"/>
          </w:tcPr>
          <w:p>
            <w:r/>
          </w:p>
        </w:tc>
        <w:tc>
          <w:tcPr>
            <w:tcW w:type="dxa" w:w="1728"/>
          </w:tcPr>
          <w:p>
            <w:r/>
          </w:p>
        </w:tc>
      </w:tr>
      <w:tr>
        <w:tc>
          <w:tcPr>
            <w:tcW w:type="dxa" w:w="1728"/>
          </w:tcPr>
          <w:p>
            <w:r>
              <w:t>6</w:t>
            </w:r>
          </w:p>
        </w:tc>
        <w:tc>
          <w:tcPr>
            <w:tcW w:type="dxa" w:w="1728"/>
          </w:tcPr>
          <w:p>
            <w:r>
              <w:t>Keep a manual relationship with your own infrastructure</w:t>
            </w:r>
          </w:p>
        </w:tc>
        <w:tc>
          <w:tcPr>
            <w:tcW w:type="dxa" w:w="1728"/>
          </w:tcPr>
          <w:p>
            <w:r/>
          </w:p>
        </w:tc>
        <w:tc>
          <w:tcPr>
            <w:tcW w:type="dxa" w:w="1728"/>
          </w:tcPr>
          <w:p>
            <w:r/>
          </w:p>
        </w:tc>
        <w:tc>
          <w:tcPr>
            <w:tcW w:type="dxa" w:w="1728"/>
          </w:tcPr>
          <w:p>
            <w:r/>
          </w:p>
        </w:tc>
      </w:tr>
      <w:tr>
        <w:tc>
          <w:tcPr>
            <w:tcW w:type="dxa" w:w="1728"/>
          </w:tcPr>
          <w:p>
            <w:r>
              <w:t>7</w:t>
            </w:r>
          </w:p>
        </w:tc>
        <w:tc>
          <w:tcPr>
            <w:tcW w:type="dxa" w:w="1728"/>
          </w:tcPr>
          <w:p>
            <w:r>
              <w:t>Refuse the movie, in conversation and in voting</w:t>
            </w:r>
          </w:p>
        </w:tc>
        <w:tc>
          <w:tcPr>
            <w:tcW w:type="dxa" w:w="1728"/>
          </w:tcPr>
          <w:p>
            <w:r/>
          </w:p>
        </w:tc>
        <w:tc>
          <w:tcPr>
            <w:tcW w:type="dxa" w:w="1728"/>
          </w:tcPr>
          <w:p>
            <w:r/>
          </w:p>
        </w:tc>
        <w:tc>
          <w:tcPr>
            <w:tcW w:type="dxa" w:w="1728"/>
          </w:tcPr>
          <w:p>
            <w:r/>
          </w:p>
        </w:tc>
      </w:tr>
      <w:tr>
        <w:tc>
          <w:tcPr>
            <w:tcW w:type="dxa" w:w="1728"/>
          </w:tcPr>
          <w:p>
            <w:r>
              <w:t>8</w:t>
            </w:r>
          </w:p>
        </w:tc>
        <w:tc>
          <w:tcPr>
            <w:tcW w:type="dxa" w:w="1728"/>
          </w:tcPr>
          <w:p>
            <w:r>
              <w:t>Back the boring professions</w:t>
            </w:r>
          </w:p>
        </w:tc>
        <w:tc>
          <w:tcPr>
            <w:tcW w:type="dxa" w:w="1728"/>
          </w:tcPr>
          <w:p>
            <w:r/>
          </w:p>
        </w:tc>
        <w:tc>
          <w:tcPr>
            <w:tcW w:type="dxa" w:w="1728"/>
          </w:tcPr>
          <w:p>
            <w:r/>
          </w:p>
        </w:tc>
        <w:tc>
          <w:tcPr>
            <w:tcW w:type="dxa" w:w="1728"/>
          </w:tcPr>
          <w:p>
            <w:r/>
          </w:p>
        </w:tc>
      </w:tr>
      <w:tr>
        <w:tc>
          <w:tcPr>
            <w:tcW w:type="dxa" w:w="1728"/>
          </w:tcPr>
          <w:p>
            <w:r>
              <w:t>9</w:t>
            </w:r>
          </w:p>
        </w:tc>
        <w:tc>
          <w:tcPr>
            <w:tcW w:type="dxa" w:w="1728"/>
          </w:tcPr>
          <w:p>
            <w:r>
              <w:t>Build one analog competency to genuine standard</w:t>
            </w:r>
          </w:p>
        </w:tc>
        <w:tc>
          <w:tcPr>
            <w:tcW w:type="dxa" w:w="1728"/>
          </w:tcPr>
          <w:p>
            <w:r/>
          </w:p>
        </w:tc>
        <w:tc>
          <w:tcPr>
            <w:tcW w:type="dxa" w:w="1728"/>
          </w:tcPr>
          <w:p>
            <w:r/>
          </w:p>
        </w:tc>
        <w:tc>
          <w:tcPr>
            <w:tcW w:type="dxa" w:w="1728"/>
          </w:tcPr>
          <w:p>
            <w:r/>
          </w:p>
        </w:tc>
      </w:tr>
      <w:tr>
        <w:tc>
          <w:tcPr>
            <w:tcW w:type="dxa" w:w="1728"/>
          </w:tcPr>
          <w:p>
            <w:r>
              <w:t>10</w:t>
            </w:r>
          </w:p>
        </w:tc>
        <w:tc>
          <w:tcPr>
            <w:tcW w:type="dxa" w:w="1728"/>
          </w:tcPr>
          <w:p>
            <w:r>
              <w:t>Write your household's First Contact rules before you need them</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11: Kit 11, Ten Moves for First Contact</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